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16 (Benchmarking)</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within the definition of a Cost.</w:t>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the Buyer may give CCS the right to enforce the Buyer's rights under this Schedule.</w:t>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Start Date or at intervals of less than twelve (12) Months after any previous Benchmark Review. </w:t>
      </w:r>
    </w:p>
    <w:p w:rsidR="00000000" w:rsidDel="00000000" w:rsidP="00000000" w:rsidRDefault="00000000" w:rsidRPr="00000000" w14:paraId="0000001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1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1">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2">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9">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B">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C">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D">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E">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3.2.7 below, information from other suppliers or purchasers on Comparable Rates;</w:t>
      </w:r>
    </w:p>
    <w:p w:rsidR="00000000" w:rsidDel="00000000" w:rsidP="00000000" w:rsidRDefault="00000000" w:rsidRPr="00000000" w14:paraId="0000002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3">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9">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w:t>
      <w:tab/>
      <w:t xml:space="preserve">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RM6242 - Construction Professional Services DPS </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9">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-13333</wp:posOffset>
          </wp:positionV>
          <wp:extent cx="849085" cy="685627"/>
          <wp:effectExtent b="0" l="0" r="0" t="0"/>
          <wp:wrapNone/>
          <wp:docPr descr="Crown Commercial Service" id="3"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16 (Benchmarking)</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hQ6dZaWD3LhsuWRIBTlCY00C+A==">AMUW2mWjrwVAE6zgNVUcZ+mfVet7TqNUSPWqBzqfMFd4fICld8FVAn9jw+bA6P2eqtmJLdB4jLpyeg6Gg4/KPJZXl3SWu4Wst5/rXNZpO7nZXIV3Si5DK/xZ4bP5y4ikFCaKJWJcekTaFqHJmNL1kf9lY/LQK8ljJNzjCZYl0iYLyVpgLbIqs7OIhNZNlsOewkQkliNzX3MK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2021-08-31T16:48:00Z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